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[საზოგადოების დასახელება], ს/ნ [საიდენტიფიკაციო კოდი]                                  ქ. [ქალაქი], [თარიღი]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b/>
          <w:sz w:val="32"/>
          <w:szCs w:val="32"/>
          <w:rFonts w:ascii="Sylfaen" w:hAnsi="Sylfaen" w:cs="Sylfaen"/>
          <w:lang w:val="ka-GE"/>
        </w:rPr>
        <w:t xml:space="preserve">პარტნიორთა კრების ოქმი №[ნომერი]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კრებას ესწრებოდნენ პარტნიორები: [სახელი, გვარი — წილი %]; [სახელი, გვარი — წილი %]. კრება უფლებამოსილია, რადგან წარმოდგენილია საჭირო ხმათა უმრავლესობა.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დღის წესრიგი: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1. [საკითხის ფორმულირება — მაგ. დირექტორის დანიშვნა].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2. [საკითხის ფორმულირება — მაგ. მოგების განაწილება / სხვა].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მიღებული გადაწყვეტილებები: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1. [გადაწყვეტილების ტექსტი]. მომხრე — [X] ხმა, წინააღმდეგი — [X], თავი შეიკავა — [X]. გადაწყვეტილება მიღებულია.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2. [გადაწყვეტილების ტექსტი]. მომხრე — [X] ხმა, წინააღმდეგი — [X], თავი შეიკავა — [X]. გადაწყვეტილება მიღებულია.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კრების თავმჯდომარე: ___________________ /[სახელი, გვარი]/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მდივანი: ___________________ /[სახელი, გვარი]/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— — —</w:t>
      </w:r>
    </w:p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sz w:val="20"/>
          <w:szCs w:val="20"/>
          <w:color w:val="5D6677"/>
          <w:rFonts w:ascii="Sylfaen" w:hAnsi="Sylfaen" w:cs="Sylfaen"/>
          <w:lang w:val="ka-GE"/>
        </w:rPr>
        <w:t xml:space="preserve">ეს შაბლონი ზოგადი, საინფორმაციო ხასიათისაა და კონკრეტული გარიგების იურიდიულ შემოწმებას არ ცვლის. გამოყენებამდე მოარგეთ თქვენს ვითარებას და საჭიროებისას გაიარეთ პროფესიული კონსულტაცია. Elite Audit — info@eaudit.ge, 598 21 27 01.</w:t>
      </w:r>
    </w:p>
    <w:sectPr>
      <w:pgSz w:w="11906" w:h="16838"/>
      <w:pgMar w:top="1134" w:right="1134" w:bottom="1134" w:left="1134" w:header="708" w:footer="708" w:gutter="0"/>
    </w:sectPr>
  </w:body>
</w:document>
</file>